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ind w:left="153" w:right="0"/>
        <w:jc w:val="left"/>
      </w:pPr>
      <w:r>
        <w:rPr>
          <w:u w:val="single"/>
        </w:rPr>
        <w:t>2310700000</w:t>
      </w:r>
    </w:p>
    <w:p>
      <w:pPr>
        <w:pStyle w:val="BodyText"/>
        <w:spacing w:before="30"/>
        <w:ind w:left="148"/>
      </w:pPr>
      <w:r>
        <w:rPr/>
        <w:t>(код</w:t>
      </w:r>
      <w:r>
        <w:rPr>
          <w:spacing w:val="12"/>
        </w:rPr>
        <w:t> </w:t>
      </w:r>
      <w:r>
        <w:rPr/>
        <w:t>бюджету)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spacing w:before="1"/>
      </w:pPr>
      <w:r>
        <w:rPr/>
        <w:t>ФІНАНСУВАННЯ</w:t>
      </w:r>
    </w:p>
    <w:p>
      <w:pPr>
        <w:spacing w:before="25"/>
        <w:ind w:left="137" w:right="29" w:firstLine="0"/>
        <w:jc w:val="center"/>
        <w:rPr>
          <w:b/>
          <w:sz w:val="17"/>
        </w:rPr>
      </w:pPr>
      <w:r>
        <w:rPr>
          <w:b/>
          <w:sz w:val="17"/>
        </w:rPr>
        <w:t>місцевого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бюджету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на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2020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рік</w:t>
      </w:r>
    </w:p>
    <w:p>
      <w:pPr>
        <w:pStyle w:val="BodyText"/>
        <w:spacing w:line="155" w:lineRule="exact" w:before="68"/>
        <w:ind w:left="153"/>
      </w:pPr>
      <w:r>
        <w:rPr/>
        <w:br w:type="column"/>
      </w:r>
      <w:r>
        <w:rPr>
          <w:spacing w:val="-1"/>
          <w:w w:val="105"/>
        </w:rPr>
        <w:t>Додаток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2</w:t>
      </w:r>
    </w:p>
    <w:p>
      <w:pPr>
        <w:tabs>
          <w:tab w:pos="1088" w:val="left" w:leader="underscore"/>
        </w:tabs>
        <w:spacing w:line="132" w:lineRule="exact" w:before="0"/>
        <w:ind w:left="148" w:right="0" w:firstLine="0"/>
        <w:jc w:val="left"/>
        <w:rPr>
          <w:sz w:val="12"/>
        </w:rPr>
      </w:pPr>
      <w:r>
        <w:rPr>
          <w:sz w:val="12"/>
        </w:rPr>
        <w:t>до</w:t>
      </w:r>
      <w:r>
        <w:rPr>
          <w:spacing w:val="-3"/>
          <w:sz w:val="12"/>
        </w:rPr>
        <w:t> </w:t>
      </w:r>
      <w:r>
        <w:rPr>
          <w:sz w:val="12"/>
        </w:rPr>
        <w:t>рішення</w:t>
        <w:tab/>
      </w:r>
      <w:r>
        <w:rPr>
          <w:spacing w:val="-1"/>
          <w:sz w:val="12"/>
        </w:rPr>
        <w:t>сесії</w:t>
      </w:r>
      <w:r>
        <w:rPr>
          <w:spacing w:val="22"/>
          <w:sz w:val="12"/>
        </w:rPr>
        <w:t> </w:t>
      </w:r>
      <w:r>
        <w:rPr>
          <w:spacing w:val="-1"/>
          <w:sz w:val="12"/>
        </w:rPr>
        <w:t>Мелітопольської</w:t>
      </w:r>
      <w:r>
        <w:rPr>
          <w:spacing w:val="-6"/>
          <w:sz w:val="12"/>
        </w:rPr>
        <w:t> </w:t>
      </w:r>
      <w:r>
        <w:rPr>
          <w:spacing w:val="-1"/>
          <w:sz w:val="12"/>
        </w:rPr>
        <w:t>міської</w:t>
      </w:r>
      <w:r>
        <w:rPr>
          <w:spacing w:val="-6"/>
          <w:sz w:val="12"/>
        </w:rPr>
        <w:t> </w:t>
      </w:r>
      <w:r>
        <w:rPr>
          <w:spacing w:val="-1"/>
          <w:sz w:val="12"/>
        </w:rPr>
        <w:t>ради</w:t>
      </w:r>
      <w:r>
        <w:rPr>
          <w:spacing w:val="-4"/>
          <w:sz w:val="12"/>
        </w:rPr>
        <w:t> </w:t>
      </w:r>
      <w:r>
        <w:rPr>
          <w:sz w:val="12"/>
        </w:rPr>
        <w:t>Запорізької</w:t>
      </w:r>
    </w:p>
    <w:p>
      <w:pPr>
        <w:spacing w:before="20"/>
        <w:ind w:left="148" w:right="0" w:firstLine="0"/>
        <w:jc w:val="left"/>
        <w:rPr>
          <w:sz w:val="12"/>
        </w:rPr>
      </w:pPr>
      <w:r>
        <w:rPr>
          <w:sz w:val="12"/>
        </w:rPr>
        <w:t>області</w:t>
      </w:r>
      <w:r>
        <w:rPr>
          <w:spacing w:val="-4"/>
          <w:sz w:val="12"/>
        </w:rPr>
        <w:t> </w:t>
      </w:r>
      <w:r>
        <w:rPr>
          <w:sz w:val="12"/>
        </w:rPr>
        <w:t>____скликання</w:t>
      </w:r>
      <w:r>
        <w:rPr>
          <w:spacing w:val="4"/>
          <w:sz w:val="12"/>
        </w:rPr>
        <w:t> </w:t>
      </w:r>
      <w:r>
        <w:rPr>
          <w:sz w:val="12"/>
        </w:rPr>
        <w:t>від</w:t>
      </w:r>
      <w:r>
        <w:rPr>
          <w:spacing w:val="2"/>
          <w:sz w:val="12"/>
        </w:rPr>
        <w:t> </w:t>
      </w:r>
      <w:r>
        <w:rPr>
          <w:sz w:val="12"/>
        </w:rPr>
        <w:t>__________</w:t>
      </w:r>
      <w:r>
        <w:rPr>
          <w:spacing w:val="4"/>
          <w:sz w:val="12"/>
        </w:rPr>
        <w:t> </w:t>
      </w:r>
      <w:r>
        <w:rPr>
          <w:sz w:val="12"/>
        </w:rPr>
        <w:t>№_____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9"/>
        </w:rPr>
      </w:pPr>
    </w:p>
    <w:p>
      <w:pPr>
        <w:spacing w:before="1"/>
        <w:ind w:left="0" w:right="148" w:firstLine="0"/>
        <w:jc w:val="right"/>
        <w:rPr>
          <w:sz w:val="16"/>
        </w:rPr>
      </w:pPr>
      <w:r>
        <w:rPr>
          <w:sz w:val="16"/>
        </w:rPr>
        <w:t>(грн)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1040" w:bottom="280" w:left="980" w:right="700"/>
          <w:cols w:num="3" w:equalWidth="0">
            <w:col w:w="1082" w:space="2870"/>
            <w:col w:w="2569" w:space="278"/>
            <w:col w:w="3761"/>
          </w:cols>
        </w:sectPr>
      </w:pPr>
    </w:p>
    <w:tbl>
      <w:tblPr>
        <w:tblW w:w="0" w:type="auto"/>
        <w:jc w:val="left"/>
        <w:tblInd w:w="12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835"/>
        <w:gridCol w:w="1137"/>
        <w:gridCol w:w="1108"/>
        <w:gridCol w:w="1180"/>
        <w:gridCol w:w="1228"/>
      </w:tblGrid>
      <w:tr>
        <w:trPr>
          <w:trHeight w:val="172" w:hRule="atLeast"/>
        </w:trPr>
        <w:tc>
          <w:tcPr>
            <w:tcW w:w="830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153" w:right="13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Код</w:t>
            </w:r>
          </w:p>
        </w:tc>
        <w:tc>
          <w:tcPr>
            <w:tcW w:w="4835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Найменування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згідно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з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Класифікацією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фінансування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бюджету</w:t>
            </w:r>
          </w:p>
        </w:tc>
        <w:tc>
          <w:tcPr>
            <w:tcW w:w="1137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34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108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Загальний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фонд</w:t>
            </w:r>
          </w:p>
        </w:tc>
        <w:tc>
          <w:tcPr>
            <w:tcW w:w="2408" w:type="dxa"/>
            <w:gridSpan w:val="2"/>
          </w:tcPr>
          <w:p>
            <w:pPr>
              <w:pStyle w:val="TableParagraph"/>
              <w:spacing w:line="149" w:lineRule="exact" w:before="3"/>
              <w:ind w:left="6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фонд</w:t>
            </w:r>
          </w:p>
        </w:tc>
      </w:tr>
      <w:tr>
        <w:trPr>
          <w:trHeight w:val="287" w:hRule="atLeast"/>
        </w:trPr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line="240" w:lineRule="auto" w:before="70"/>
              <w:ind w:left="161" w:right="1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3"/>
              <w:ind w:left="57" w:right="27"/>
              <w:rPr>
                <w:b/>
                <w:sz w:val="12"/>
              </w:rPr>
            </w:pPr>
            <w:r>
              <w:rPr>
                <w:b/>
                <w:sz w:val="12"/>
              </w:rPr>
              <w:t>у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тому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числі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бюджет</w:t>
            </w:r>
          </w:p>
          <w:p>
            <w:pPr>
              <w:pStyle w:val="TableParagraph"/>
              <w:spacing w:line="106" w:lineRule="exact" w:before="20"/>
              <w:ind w:left="53" w:right="27"/>
              <w:rPr>
                <w:b/>
                <w:sz w:val="12"/>
              </w:rPr>
            </w:pPr>
            <w:r>
              <w:rPr>
                <w:b/>
                <w:sz w:val="12"/>
              </w:rPr>
              <w:t>розвитку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18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228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10318" w:type="dxa"/>
            <w:gridSpan w:val="6"/>
          </w:tcPr>
          <w:p>
            <w:pPr>
              <w:pStyle w:val="TableParagraph"/>
              <w:spacing w:line="240" w:lineRule="auto" w:before="57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Фінансування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типом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кредитора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200000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Внутрішнє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фінансування</w:t>
            </w:r>
          </w:p>
        </w:tc>
        <w:tc>
          <w:tcPr>
            <w:tcW w:w="1137" w:type="dxa"/>
          </w:tcPr>
          <w:p>
            <w:pPr>
              <w:pStyle w:val="TableParagraph"/>
              <w:ind w:left="163" w:right="149"/>
              <w:rPr>
                <w:sz w:val="16"/>
              </w:rPr>
            </w:pPr>
            <w:r>
              <w:rPr>
                <w:sz w:val="16"/>
              </w:rPr>
              <w:t>69.194.515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z w:val="16"/>
              </w:rPr>
              <w:t>-95.880.324</w:t>
            </w:r>
          </w:p>
        </w:tc>
        <w:tc>
          <w:tcPr>
            <w:tcW w:w="1180" w:type="dxa"/>
          </w:tcPr>
          <w:p>
            <w:pPr>
              <w:pStyle w:val="TableParagraph"/>
              <w:ind w:left="148" w:right="155"/>
              <w:rPr>
                <w:sz w:val="16"/>
              </w:rPr>
            </w:pPr>
            <w:r>
              <w:rPr>
                <w:sz w:val="16"/>
              </w:rPr>
              <w:t>165.074.839</w:t>
            </w:r>
          </w:p>
        </w:tc>
        <w:tc>
          <w:tcPr>
            <w:tcW w:w="1228" w:type="dxa"/>
          </w:tcPr>
          <w:p>
            <w:pPr>
              <w:pStyle w:val="TableParagraph"/>
              <w:ind w:left="22" w:right="27"/>
              <w:rPr>
                <w:sz w:val="16"/>
              </w:rPr>
            </w:pPr>
            <w:r>
              <w:rPr>
                <w:sz w:val="16"/>
              </w:rPr>
              <w:t>164.954.839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202000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Фінансування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рахунок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позик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банківських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установ</w:t>
            </w:r>
          </w:p>
        </w:tc>
        <w:tc>
          <w:tcPr>
            <w:tcW w:w="1137" w:type="dxa"/>
          </w:tcPr>
          <w:p>
            <w:pPr>
              <w:pStyle w:val="TableParagraph"/>
              <w:ind w:left="163" w:right="149"/>
              <w:rPr>
                <w:sz w:val="16"/>
              </w:rPr>
            </w:pPr>
            <w:r>
              <w:rPr>
                <w:sz w:val="16"/>
              </w:rPr>
              <w:t>28.259.915</w:t>
            </w:r>
          </w:p>
        </w:tc>
        <w:tc>
          <w:tcPr>
            <w:tcW w:w="1108" w:type="dxa"/>
          </w:tcPr>
          <w:p>
            <w:pPr>
              <w:pStyle w:val="TableParagraph"/>
              <w:ind w:left="1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1" w:right="147"/>
              <w:rPr>
                <w:sz w:val="16"/>
              </w:rPr>
            </w:pPr>
            <w:r>
              <w:rPr>
                <w:sz w:val="16"/>
              </w:rPr>
              <w:t>28.259.915</w:t>
            </w:r>
          </w:p>
        </w:tc>
        <w:tc>
          <w:tcPr>
            <w:tcW w:w="1228" w:type="dxa"/>
          </w:tcPr>
          <w:p>
            <w:pPr>
              <w:pStyle w:val="TableParagraph"/>
              <w:ind w:left="43" w:right="27"/>
              <w:rPr>
                <w:sz w:val="16"/>
              </w:rPr>
            </w:pPr>
            <w:r>
              <w:rPr>
                <w:sz w:val="16"/>
              </w:rPr>
              <w:t>28.259.915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202200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Фінансування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рахунок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інших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банків</w:t>
            </w:r>
          </w:p>
        </w:tc>
        <w:tc>
          <w:tcPr>
            <w:tcW w:w="1137" w:type="dxa"/>
          </w:tcPr>
          <w:p>
            <w:pPr>
              <w:pStyle w:val="TableParagraph"/>
              <w:ind w:left="163" w:right="149"/>
              <w:rPr>
                <w:sz w:val="16"/>
              </w:rPr>
            </w:pPr>
            <w:r>
              <w:rPr>
                <w:sz w:val="16"/>
              </w:rPr>
              <w:t>28.259.915</w:t>
            </w:r>
          </w:p>
        </w:tc>
        <w:tc>
          <w:tcPr>
            <w:tcW w:w="1108" w:type="dxa"/>
          </w:tcPr>
          <w:p>
            <w:pPr>
              <w:pStyle w:val="TableParagraph"/>
              <w:ind w:left="1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1" w:right="147"/>
              <w:rPr>
                <w:sz w:val="16"/>
              </w:rPr>
            </w:pPr>
            <w:r>
              <w:rPr>
                <w:sz w:val="16"/>
              </w:rPr>
              <w:t>28.259.915</w:t>
            </w:r>
          </w:p>
        </w:tc>
        <w:tc>
          <w:tcPr>
            <w:tcW w:w="1228" w:type="dxa"/>
          </w:tcPr>
          <w:p>
            <w:pPr>
              <w:pStyle w:val="TableParagraph"/>
              <w:ind w:left="43" w:right="27"/>
              <w:rPr>
                <w:sz w:val="16"/>
              </w:rPr>
            </w:pPr>
            <w:r>
              <w:rPr>
                <w:sz w:val="16"/>
              </w:rPr>
              <w:t>28.259.915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202210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Одержано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37" w:type="dxa"/>
          </w:tcPr>
          <w:p>
            <w:pPr>
              <w:pStyle w:val="TableParagraph"/>
              <w:ind w:left="163" w:right="149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202220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Погашено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37" w:type="dxa"/>
          </w:tcPr>
          <w:p>
            <w:pPr>
              <w:pStyle w:val="TableParagraph"/>
              <w:ind w:left="163" w:right="149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208000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Фінансування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за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рахунок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зміни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залишків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коштів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бюджетів</w:t>
            </w:r>
          </w:p>
        </w:tc>
        <w:tc>
          <w:tcPr>
            <w:tcW w:w="1137" w:type="dxa"/>
          </w:tcPr>
          <w:p>
            <w:pPr>
              <w:pStyle w:val="TableParagraph"/>
              <w:ind w:left="163" w:right="149"/>
              <w:rPr>
                <w:sz w:val="16"/>
              </w:rPr>
            </w:pPr>
            <w:r>
              <w:rPr>
                <w:sz w:val="16"/>
              </w:rPr>
              <w:t>40.934.600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75"/>
              <w:jc w:val="right"/>
              <w:rPr>
                <w:sz w:val="16"/>
              </w:rPr>
            </w:pPr>
            <w:r>
              <w:rPr>
                <w:sz w:val="16"/>
              </w:rPr>
              <w:t>35.985.600</w:t>
            </w:r>
          </w:p>
        </w:tc>
        <w:tc>
          <w:tcPr>
            <w:tcW w:w="1180" w:type="dxa"/>
          </w:tcPr>
          <w:p>
            <w:pPr>
              <w:pStyle w:val="TableParagraph"/>
              <w:ind w:left="161" w:right="142"/>
              <w:rPr>
                <w:sz w:val="16"/>
              </w:rPr>
            </w:pPr>
            <w:r>
              <w:rPr>
                <w:sz w:val="16"/>
              </w:rPr>
              <w:t>4.949.000</w:t>
            </w:r>
          </w:p>
        </w:tc>
        <w:tc>
          <w:tcPr>
            <w:tcW w:w="1228" w:type="dxa"/>
          </w:tcPr>
          <w:p>
            <w:pPr>
              <w:pStyle w:val="TableParagraph"/>
              <w:ind w:left="48" w:right="27"/>
              <w:rPr>
                <w:sz w:val="16"/>
              </w:rPr>
            </w:pPr>
            <w:r>
              <w:rPr>
                <w:sz w:val="16"/>
              </w:rPr>
              <w:t>4.829.000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208100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початок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left="163" w:right="149"/>
              <w:rPr>
                <w:sz w:val="16"/>
              </w:rPr>
            </w:pPr>
            <w:r>
              <w:rPr>
                <w:sz w:val="16"/>
              </w:rPr>
              <w:t>45.924.826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89"/>
              <w:jc w:val="right"/>
              <w:rPr>
                <w:sz w:val="16"/>
              </w:rPr>
            </w:pPr>
            <w:r>
              <w:rPr>
                <w:sz w:val="16"/>
              </w:rPr>
              <w:t>40.446.743</w:t>
            </w:r>
          </w:p>
        </w:tc>
        <w:tc>
          <w:tcPr>
            <w:tcW w:w="1180" w:type="dxa"/>
          </w:tcPr>
          <w:p>
            <w:pPr>
              <w:pStyle w:val="TableParagraph"/>
              <w:ind w:left="148" w:right="155"/>
              <w:rPr>
                <w:sz w:val="16"/>
              </w:rPr>
            </w:pPr>
            <w:r>
              <w:rPr>
                <w:sz w:val="16"/>
              </w:rPr>
              <w:t>5.478.083</w:t>
            </w:r>
          </w:p>
        </w:tc>
        <w:tc>
          <w:tcPr>
            <w:tcW w:w="1228" w:type="dxa"/>
          </w:tcPr>
          <w:p>
            <w:pPr>
              <w:pStyle w:val="TableParagraph"/>
              <w:ind w:left="22" w:right="27"/>
              <w:rPr>
                <w:sz w:val="16"/>
              </w:rPr>
            </w:pPr>
            <w:r>
              <w:rPr>
                <w:sz w:val="16"/>
              </w:rPr>
              <w:t>4.829.070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208200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кінець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left="158" w:right="149"/>
              <w:rPr>
                <w:sz w:val="16"/>
              </w:rPr>
            </w:pPr>
            <w:r>
              <w:rPr>
                <w:sz w:val="16"/>
              </w:rPr>
              <w:t>4.990.226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228"/>
              <w:jc w:val="right"/>
              <w:rPr>
                <w:sz w:val="16"/>
              </w:rPr>
            </w:pPr>
            <w:r>
              <w:rPr>
                <w:sz w:val="16"/>
              </w:rPr>
              <w:t>4.461.143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529.083</w:t>
            </w:r>
          </w:p>
        </w:tc>
        <w:tc>
          <w:tcPr>
            <w:tcW w:w="1228" w:type="dxa"/>
          </w:tcPr>
          <w:p>
            <w:pPr>
              <w:pStyle w:val="TableParagraph"/>
              <w:ind w:left="28" w:right="27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  <w:tr>
        <w:trPr>
          <w:trHeight w:val="378" w:hRule="atLeast"/>
        </w:trPr>
        <w:tc>
          <w:tcPr>
            <w:tcW w:w="830" w:type="dxa"/>
          </w:tcPr>
          <w:p>
            <w:pPr>
              <w:pStyle w:val="TableParagraph"/>
              <w:spacing w:line="240" w:lineRule="auto" w:before="90"/>
              <w:ind w:left="162" w:right="138"/>
              <w:rPr>
                <w:sz w:val="16"/>
              </w:rPr>
            </w:pPr>
            <w:r>
              <w:rPr>
                <w:sz w:val="16"/>
              </w:rPr>
              <w:t>208400</w:t>
            </w:r>
          </w:p>
        </w:tc>
        <w:tc>
          <w:tcPr>
            <w:tcW w:w="4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Кошти,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що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передаються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із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загального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фонду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бюджету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бюджету</w:t>
            </w:r>
          </w:p>
          <w:p>
            <w:pPr>
              <w:pStyle w:val="TableParagraph"/>
              <w:spacing w:line="163" w:lineRule="exact" w:before="1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розвитку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(спеціального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фонду)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100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 w:before="90"/>
              <w:ind w:left="0" w:right="122"/>
              <w:jc w:val="right"/>
              <w:rPr>
                <w:sz w:val="16"/>
              </w:rPr>
            </w:pPr>
            <w:r>
              <w:rPr>
                <w:sz w:val="16"/>
              </w:rPr>
              <w:t>-131.865.924</w:t>
            </w:r>
          </w:p>
        </w:tc>
        <w:tc>
          <w:tcPr>
            <w:tcW w:w="1180" w:type="dxa"/>
          </w:tcPr>
          <w:p>
            <w:pPr>
              <w:pStyle w:val="TableParagraph"/>
              <w:spacing w:line="240" w:lineRule="auto" w:before="90"/>
              <w:ind w:left="148" w:right="155"/>
              <w:rPr>
                <w:sz w:val="16"/>
              </w:rPr>
            </w:pPr>
            <w:r>
              <w:rPr>
                <w:sz w:val="16"/>
              </w:rPr>
              <w:t>131.865.924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90"/>
              <w:ind w:left="22" w:right="27"/>
              <w:rPr>
                <w:sz w:val="16"/>
              </w:rPr>
            </w:pPr>
            <w:r>
              <w:rPr>
                <w:sz w:val="16"/>
              </w:rPr>
              <w:t>131.865.924</w:t>
            </w:r>
          </w:p>
        </w:tc>
      </w:tr>
      <w:tr>
        <w:trPr>
          <w:trHeight w:val="182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Зовнішнє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фінансування</w:t>
            </w:r>
          </w:p>
        </w:tc>
        <w:tc>
          <w:tcPr>
            <w:tcW w:w="113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63" w:right="149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</w:tr>
      <w:tr>
        <w:trPr>
          <w:trHeight w:val="182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62" w:right="138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Позики,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надані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міжнародними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фінансовими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організаціями</w:t>
            </w:r>
          </w:p>
        </w:tc>
        <w:tc>
          <w:tcPr>
            <w:tcW w:w="113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3" w:lineRule="exact"/>
              <w:ind w:left="163" w:right="149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108" w:type="dxa"/>
          </w:tcPr>
          <w:p>
            <w:pPr>
              <w:pStyle w:val="TableParagraph"/>
              <w:spacing w:line="163" w:lineRule="exact"/>
              <w:ind w:left="1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spacing w:line="163" w:lineRule="exact"/>
              <w:ind w:left="161" w:right="147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228" w:type="dxa"/>
          </w:tcPr>
          <w:p>
            <w:pPr>
              <w:pStyle w:val="TableParagraph"/>
              <w:spacing w:line="163" w:lineRule="exact"/>
              <w:ind w:left="43" w:right="27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</w:tr>
      <w:tr>
        <w:trPr>
          <w:trHeight w:val="181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Одержано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" w:right="149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</w:tr>
      <w:tr>
        <w:trPr>
          <w:trHeight w:val="181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Погашено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63" w:right="149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10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w w:val="99"/>
                <w:sz w:val="16"/>
              </w:rPr>
              <w:t>х</w:t>
            </w:r>
          </w:p>
        </w:tc>
        <w:tc>
          <w:tcPr>
            <w:tcW w:w="483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Загальне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фінансування</w:t>
            </w:r>
          </w:p>
        </w:tc>
        <w:tc>
          <w:tcPr>
            <w:tcW w:w="113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3" w:right="149"/>
              <w:rPr>
                <w:b/>
                <w:sz w:val="16"/>
              </w:rPr>
            </w:pPr>
            <w:r>
              <w:rPr>
                <w:b/>
                <w:sz w:val="16"/>
              </w:rPr>
              <w:t>83.144.515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-95.880.324</w:t>
            </w:r>
          </w:p>
        </w:tc>
        <w:tc>
          <w:tcPr>
            <w:tcW w:w="1180" w:type="dxa"/>
          </w:tcPr>
          <w:p>
            <w:pPr>
              <w:pStyle w:val="TableParagraph"/>
              <w:ind w:left="161" w:right="142"/>
              <w:rPr>
                <w:b/>
                <w:sz w:val="16"/>
              </w:rPr>
            </w:pPr>
            <w:r>
              <w:rPr>
                <w:b/>
                <w:sz w:val="16"/>
              </w:rPr>
              <w:t>179.024.839</w:t>
            </w:r>
          </w:p>
        </w:tc>
        <w:tc>
          <w:tcPr>
            <w:tcW w:w="1228" w:type="dxa"/>
          </w:tcPr>
          <w:p>
            <w:pPr>
              <w:pStyle w:val="TableParagraph"/>
              <w:ind w:left="48" w:right="27"/>
              <w:rPr>
                <w:b/>
                <w:sz w:val="16"/>
              </w:rPr>
            </w:pPr>
            <w:r>
              <w:rPr>
                <w:b/>
                <w:sz w:val="16"/>
              </w:rPr>
              <w:t>178.904.839</w:t>
            </w:r>
          </w:p>
        </w:tc>
      </w:tr>
      <w:tr>
        <w:trPr>
          <w:trHeight w:val="297" w:hRule="atLeast"/>
        </w:trPr>
        <w:tc>
          <w:tcPr>
            <w:tcW w:w="10318" w:type="dxa"/>
            <w:gridSpan w:val="6"/>
          </w:tcPr>
          <w:p>
            <w:pPr>
              <w:pStyle w:val="TableParagraph"/>
              <w:spacing w:line="240" w:lineRule="auto" w:before="47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Фінансування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типом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боргового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зобов"язання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Фінансування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борговими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операціями</w:t>
            </w:r>
          </w:p>
        </w:tc>
        <w:tc>
          <w:tcPr>
            <w:tcW w:w="1137" w:type="dxa"/>
          </w:tcPr>
          <w:p>
            <w:pPr>
              <w:pStyle w:val="TableParagraph"/>
              <w:ind w:left="163" w:right="149"/>
              <w:rPr>
                <w:sz w:val="16"/>
              </w:rPr>
            </w:pPr>
            <w:r>
              <w:rPr>
                <w:sz w:val="16"/>
              </w:rPr>
              <w:t>42.209.915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42.209.915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42.209.915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401100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Внутрішні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left="163" w:right="149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401102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Середньострокові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left="163" w:right="149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1" w:right="147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  <w:tc>
          <w:tcPr>
            <w:tcW w:w="1228" w:type="dxa"/>
          </w:tcPr>
          <w:p>
            <w:pPr>
              <w:pStyle w:val="TableParagraph"/>
              <w:ind w:left="43" w:right="27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401200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Зовнішні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left="163" w:right="149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401202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Середньострокові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left="163" w:right="149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402000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Погашення</w:t>
            </w:r>
          </w:p>
        </w:tc>
        <w:tc>
          <w:tcPr>
            <w:tcW w:w="1137" w:type="dxa"/>
          </w:tcPr>
          <w:p>
            <w:pPr>
              <w:pStyle w:val="TableParagraph"/>
              <w:ind w:left="163" w:right="149"/>
              <w:rPr>
                <w:sz w:val="16"/>
              </w:rPr>
            </w:pPr>
            <w:r>
              <w:rPr>
                <w:sz w:val="16"/>
              </w:rPr>
              <w:t>-24.511.195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-24.511.195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-24.511.195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402100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Внутрішні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left="163" w:right="149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402102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Середньострокові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left="163" w:right="149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402200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Зовнішні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left="163" w:right="149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402202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Середньострокові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left="163" w:right="149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600000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активними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операціями</w:t>
            </w:r>
          </w:p>
        </w:tc>
        <w:tc>
          <w:tcPr>
            <w:tcW w:w="1137" w:type="dxa"/>
          </w:tcPr>
          <w:p>
            <w:pPr>
              <w:pStyle w:val="TableParagraph"/>
              <w:ind w:left="163" w:right="149"/>
              <w:rPr>
                <w:sz w:val="16"/>
              </w:rPr>
            </w:pPr>
            <w:r>
              <w:rPr>
                <w:sz w:val="16"/>
              </w:rPr>
              <w:t>40.934.600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z w:val="16"/>
              </w:rPr>
              <w:t>-95.880.324</w:t>
            </w:r>
          </w:p>
        </w:tc>
        <w:tc>
          <w:tcPr>
            <w:tcW w:w="1180" w:type="dxa"/>
          </w:tcPr>
          <w:p>
            <w:pPr>
              <w:pStyle w:val="TableParagraph"/>
              <w:ind w:left="148" w:right="155"/>
              <w:rPr>
                <w:sz w:val="16"/>
              </w:rPr>
            </w:pPr>
            <w:r>
              <w:rPr>
                <w:sz w:val="16"/>
              </w:rPr>
              <w:t>136.814.924</w:t>
            </w:r>
          </w:p>
        </w:tc>
        <w:tc>
          <w:tcPr>
            <w:tcW w:w="1228" w:type="dxa"/>
          </w:tcPr>
          <w:p>
            <w:pPr>
              <w:pStyle w:val="TableParagraph"/>
              <w:ind w:left="22" w:right="27"/>
              <w:rPr>
                <w:sz w:val="16"/>
              </w:rPr>
            </w:pPr>
            <w:r>
              <w:rPr>
                <w:sz w:val="16"/>
              </w:rPr>
              <w:t>136.694.924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602000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Зміни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обсягів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готівкових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коштів</w:t>
            </w:r>
          </w:p>
        </w:tc>
        <w:tc>
          <w:tcPr>
            <w:tcW w:w="1137" w:type="dxa"/>
          </w:tcPr>
          <w:p>
            <w:pPr>
              <w:pStyle w:val="TableParagraph"/>
              <w:ind w:left="163" w:right="149"/>
              <w:rPr>
                <w:sz w:val="16"/>
              </w:rPr>
            </w:pPr>
            <w:r>
              <w:rPr>
                <w:sz w:val="16"/>
              </w:rPr>
              <w:t>40.934.600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z w:val="16"/>
              </w:rPr>
              <w:t>-95.880.324</w:t>
            </w:r>
          </w:p>
        </w:tc>
        <w:tc>
          <w:tcPr>
            <w:tcW w:w="1180" w:type="dxa"/>
          </w:tcPr>
          <w:p>
            <w:pPr>
              <w:pStyle w:val="TableParagraph"/>
              <w:ind w:left="148" w:right="155"/>
              <w:rPr>
                <w:sz w:val="16"/>
              </w:rPr>
            </w:pPr>
            <w:r>
              <w:rPr>
                <w:sz w:val="16"/>
              </w:rPr>
              <w:t>136.814.924</w:t>
            </w:r>
          </w:p>
        </w:tc>
        <w:tc>
          <w:tcPr>
            <w:tcW w:w="1228" w:type="dxa"/>
          </w:tcPr>
          <w:p>
            <w:pPr>
              <w:pStyle w:val="TableParagraph"/>
              <w:ind w:left="22" w:right="27"/>
              <w:rPr>
                <w:sz w:val="16"/>
              </w:rPr>
            </w:pPr>
            <w:r>
              <w:rPr>
                <w:sz w:val="16"/>
              </w:rPr>
              <w:t>136.694.924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602100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початок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left="163" w:right="149"/>
              <w:rPr>
                <w:sz w:val="16"/>
              </w:rPr>
            </w:pPr>
            <w:r>
              <w:rPr>
                <w:sz w:val="16"/>
              </w:rPr>
              <w:t>45.924.826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89"/>
              <w:jc w:val="right"/>
              <w:rPr>
                <w:sz w:val="16"/>
              </w:rPr>
            </w:pPr>
            <w:r>
              <w:rPr>
                <w:sz w:val="16"/>
              </w:rPr>
              <w:t>40.446.743</w:t>
            </w:r>
          </w:p>
        </w:tc>
        <w:tc>
          <w:tcPr>
            <w:tcW w:w="1180" w:type="dxa"/>
          </w:tcPr>
          <w:p>
            <w:pPr>
              <w:pStyle w:val="TableParagraph"/>
              <w:ind w:left="148" w:right="155"/>
              <w:rPr>
                <w:sz w:val="16"/>
              </w:rPr>
            </w:pPr>
            <w:r>
              <w:rPr>
                <w:sz w:val="16"/>
              </w:rPr>
              <w:t>5.478.083</w:t>
            </w:r>
          </w:p>
        </w:tc>
        <w:tc>
          <w:tcPr>
            <w:tcW w:w="1228" w:type="dxa"/>
          </w:tcPr>
          <w:p>
            <w:pPr>
              <w:pStyle w:val="TableParagraph"/>
              <w:ind w:left="22" w:right="27"/>
              <w:rPr>
                <w:sz w:val="16"/>
              </w:rPr>
            </w:pPr>
            <w:r>
              <w:rPr>
                <w:sz w:val="16"/>
              </w:rPr>
              <w:t>4.829.070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602200</w:t>
            </w:r>
          </w:p>
        </w:tc>
        <w:tc>
          <w:tcPr>
            <w:tcW w:w="483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кінець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left="158" w:right="149"/>
              <w:rPr>
                <w:sz w:val="16"/>
              </w:rPr>
            </w:pPr>
            <w:r>
              <w:rPr>
                <w:sz w:val="16"/>
              </w:rPr>
              <w:t>4.990.226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228"/>
              <w:jc w:val="right"/>
              <w:rPr>
                <w:sz w:val="16"/>
              </w:rPr>
            </w:pPr>
            <w:r>
              <w:rPr>
                <w:sz w:val="16"/>
              </w:rPr>
              <w:t>4.461.143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529.083</w:t>
            </w:r>
          </w:p>
        </w:tc>
        <w:tc>
          <w:tcPr>
            <w:tcW w:w="1228" w:type="dxa"/>
          </w:tcPr>
          <w:p>
            <w:pPr>
              <w:pStyle w:val="TableParagraph"/>
              <w:ind w:left="28" w:right="27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  <w:tr>
        <w:trPr>
          <w:trHeight w:val="378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62" w:right="138"/>
              <w:rPr>
                <w:sz w:val="16"/>
              </w:rPr>
            </w:pPr>
            <w:r>
              <w:rPr>
                <w:sz w:val="16"/>
              </w:rPr>
              <w:t>602400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Кошти,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що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передаються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із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загального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фонду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бюджету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бюджету</w:t>
            </w:r>
          </w:p>
          <w:p>
            <w:pPr>
              <w:pStyle w:val="TableParagraph"/>
              <w:spacing w:line="163" w:lineRule="exact" w:before="1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розвитку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(спеціального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фонду)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0" w:right="122"/>
              <w:jc w:val="right"/>
              <w:rPr>
                <w:sz w:val="16"/>
              </w:rPr>
            </w:pPr>
            <w:r>
              <w:rPr>
                <w:sz w:val="16"/>
              </w:rPr>
              <w:t>-131.865.924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48" w:right="155"/>
              <w:rPr>
                <w:sz w:val="16"/>
              </w:rPr>
            </w:pPr>
            <w:r>
              <w:rPr>
                <w:sz w:val="16"/>
              </w:rPr>
              <w:t>131.865.924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22" w:right="27"/>
              <w:rPr>
                <w:sz w:val="16"/>
              </w:rPr>
            </w:pPr>
            <w:r>
              <w:rPr>
                <w:sz w:val="16"/>
              </w:rPr>
              <w:t>131.865.924</w:t>
            </w:r>
          </w:p>
        </w:tc>
      </w:tr>
      <w:tr>
        <w:trPr>
          <w:trHeight w:val="273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2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х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Загальне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фінансування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163" w:right="149"/>
              <w:rPr>
                <w:b/>
                <w:sz w:val="16"/>
              </w:rPr>
            </w:pPr>
            <w:r>
              <w:rPr>
                <w:b/>
                <w:sz w:val="16"/>
              </w:rPr>
              <w:t>83.144.515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0" w:right="1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-95.880.324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161" w:right="142"/>
              <w:rPr>
                <w:b/>
                <w:sz w:val="16"/>
              </w:rPr>
            </w:pPr>
            <w:r>
              <w:rPr>
                <w:b/>
                <w:sz w:val="16"/>
              </w:rPr>
              <w:t>179.024.839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48" w:right="27"/>
              <w:rPr>
                <w:b/>
                <w:sz w:val="16"/>
              </w:rPr>
            </w:pPr>
            <w:r>
              <w:rPr>
                <w:b/>
                <w:sz w:val="16"/>
              </w:rPr>
              <w:t>178.904.839</w:t>
            </w:r>
          </w:p>
        </w:tc>
      </w:tr>
    </w:tbl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9242" w:val="left" w:leader="none"/>
        </w:tabs>
        <w:spacing w:before="98"/>
        <w:ind w:left="148"/>
      </w:pPr>
      <w:r>
        <w:rPr/>
        <w:t>Начальник</w:t>
      </w:r>
      <w:r>
        <w:rPr>
          <w:spacing w:val="11"/>
        </w:rPr>
        <w:t> </w:t>
      </w:r>
      <w:r>
        <w:rPr/>
        <w:t>фінансового</w:t>
      </w:r>
      <w:r>
        <w:rPr>
          <w:spacing w:val="11"/>
        </w:rPr>
        <w:t> </w:t>
      </w:r>
      <w:r>
        <w:rPr/>
        <w:t>управління</w:t>
      </w:r>
      <w:r>
        <w:rPr>
          <w:spacing w:val="11"/>
        </w:rPr>
        <w:t> </w:t>
      </w:r>
      <w:r>
        <w:rPr/>
        <w:t>Мелітопольської</w:t>
      </w:r>
      <w:r>
        <w:rPr>
          <w:spacing w:val="2"/>
        </w:rPr>
        <w:t> </w:t>
      </w:r>
      <w:r>
        <w:rPr/>
        <w:t>міської</w:t>
      </w:r>
      <w:r>
        <w:rPr>
          <w:spacing w:val="2"/>
        </w:rPr>
        <w:t> </w:t>
      </w:r>
      <w:r>
        <w:rPr/>
        <w:t>ради</w:t>
        <w:tab/>
      </w:r>
      <w:r>
        <w:rPr>
          <w:spacing w:val="-1"/>
          <w:w w:val="105"/>
        </w:rPr>
        <w:t>Яна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ЧАБАН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tabs>
          <w:tab w:pos="9242" w:val="left" w:leader="none"/>
        </w:tabs>
        <w:spacing w:before="99"/>
        <w:ind w:left="148"/>
      </w:pPr>
      <w:r>
        <w:rPr/>
        <w:t>Секретар</w:t>
      </w:r>
      <w:r>
        <w:rPr>
          <w:spacing w:val="11"/>
        </w:rPr>
        <w:t> </w:t>
      </w:r>
      <w:r>
        <w:rPr/>
        <w:t>Мелітопольської</w:t>
      </w:r>
      <w:r>
        <w:rPr>
          <w:spacing w:val="3"/>
        </w:rPr>
        <w:t> </w:t>
      </w:r>
      <w:r>
        <w:rPr/>
        <w:t>міської</w:t>
      </w:r>
      <w:r>
        <w:rPr>
          <w:spacing w:val="4"/>
        </w:rPr>
        <w:t> </w:t>
      </w:r>
      <w:r>
        <w:rPr/>
        <w:t>ради</w:t>
        <w:tab/>
      </w:r>
      <w:r>
        <w:rPr>
          <w:w w:val="105"/>
        </w:rPr>
        <w:t>Роман</w:t>
      </w:r>
      <w:r>
        <w:rPr>
          <w:spacing w:val="-10"/>
          <w:w w:val="105"/>
        </w:rPr>
        <w:t> </w:t>
      </w:r>
      <w:r>
        <w:rPr>
          <w:w w:val="105"/>
        </w:rPr>
        <w:t>РОМАНОВ</w:t>
      </w:r>
    </w:p>
    <w:sectPr>
      <w:type w:val="continuous"/>
      <w:pgSz w:w="12240" w:h="15840"/>
      <w:pgMar w:top="1040" w:bottom="280" w:left="9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33" w:right="29"/>
      <w:jc w:val="center"/>
      <w:outlineLvl w:val="1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62" w:lineRule="exact"/>
      <w:ind w:left="33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2021-10-03T11:23:10Z</dcterms:created>
  <dcterms:modified xsi:type="dcterms:W3CDTF">2021-10-03T11:23:10Z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